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宋体" w:hAnsi="宋体" w:eastAsia="宋体" w:cs="宋体"/>
          <w:b w:val="0"/>
          <w:bCs/>
          <w:kern w:val="2"/>
          <w:sz w:val="36"/>
          <w:szCs w:val="36"/>
          <w:lang w:val="en-US" w:eastAsia="zh-CN" w:bidi="ar-SA"/>
        </w:rPr>
      </w:pPr>
      <w:bookmarkStart w:id="0" w:name="_GoBack"/>
      <w:bookmarkEnd w:id="0"/>
    </w:p>
    <w:p>
      <w:pPr>
        <w:spacing w:line="400" w:lineRule="exact"/>
        <w:jc w:val="center"/>
        <w:rPr>
          <w:rStyle w:val="7"/>
          <w:rFonts w:hint="default" w:ascii="宋体" w:hAnsi="宋体" w:eastAsia="宋体" w:cs="宋体"/>
          <w:b/>
          <w:bCs w:val="0"/>
          <w:kern w:val="2"/>
          <w:sz w:val="36"/>
          <w:szCs w:val="36"/>
          <w:lang w:val="en-US" w:eastAsia="zh-CN" w:bidi="ar-SA"/>
        </w:rPr>
      </w:pPr>
      <w:r>
        <w:rPr>
          <w:rStyle w:val="7"/>
          <w:rFonts w:hint="eastAsia" w:ascii="宋体" w:hAnsi="宋体" w:eastAsia="宋体" w:cs="宋体"/>
          <w:b/>
          <w:bCs w:val="0"/>
          <w:color w:val="FF0000"/>
          <w:kern w:val="2"/>
          <w:sz w:val="36"/>
          <w:szCs w:val="36"/>
          <w:lang w:val="en-US" w:eastAsia="zh-CN" w:bidi="ar-SA"/>
        </w:rPr>
        <w:t>2022考研英语大纲</w:t>
      </w:r>
      <w:r>
        <w:rPr>
          <w:rStyle w:val="7"/>
          <w:rFonts w:hint="eastAsia" w:ascii="宋体" w:hAnsi="宋体" w:eastAsia="宋体" w:cs="宋体"/>
          <w:b/>
          <w:bCs w:val="0"/>
          <w:kern w:val="2"/>
          <w:sz w:val="36"/>
          <w:szCs w:val="36"/>
          <w:lang w:val="en-US" w:eastAsia="zh-CN" w:bidi="ar-SA"/>
        </w:rPr>
        <w:t>未变考点说明</w:t>
      </w:r>
    </w:p>
    <w:p>
      <w:pPr>
        <w:spacing w:line="400" w:lineRule="exact"/>
        <w:jc w:val="center"/>
        <w:rPr>
          <w:rStyle w:val="7"/>
          <w:rFonts w:hint="eastAsia" w:ascii="宋体" w:hAnsi="宋体" w:eastAsia="宋体" w:cs="宋体"/>
          <w:b/>
          <w:bCs w:val="0"/>
          <w:kern w:val="2"/>
          <w:sz w:val="36"/>
          <w:szCs w:val="36"/>
          <w:lang w:val="en-US" w:eastAsia="zh-CN" w:bidi="ar-SA"/>
        </w:rPr>
      </w:pPr>
    </w:p>
    <w:p>
      <w:pPr>
        <w:spacing w:line="400" w:lineRule="exact"/>
        <w:jc w:val="center"/>
        <w:rPr>
          <w:rStyle w:val="7"/>
          <w:rFonts w:hint="eastAsia" w:ascii="宋体" w:hAnsi="宋体" w:eastAsia="宋体" w:cs="宋体"/>
          <w:b/>
          <w:bCs w:val="0"/>
          <w:kern w:val="2"/>
          <w:sz w:val="36"/>
          <w:szCs w:val="36"/>
          <w:lang w:val="en-US" w:eastAsia="zh-CN" w:bidi="ar-SA"/>
        </w:rPr>
      </w:pPr>
      <w:r>
        <w:rPr>
          <w:rStyle w:val="7"/>
          <w:rFonts w:hint="eastAsia" w:ascii="宋体" w:hAnsi="宋体" w:eastAsia="宋体" w:cs="宋体"/>
          <w:b/>
          <w:bCs w:val="0"/>
          <w:kern w:val="2"/>
          <w:sz w:val="32"/>
          <w:szCs w:val="32"/>
          <w:lang w:val="en-US" w:eastAsia="zh-CN" w:bidi="ar-SA"/>
        </w:rPr>
        <w:t>来源：文都教育</w:t>
      </w:r>
    </w:p>
    <w:p>
      <w:pPr>
        <w:keepNext w:val="0"/>
        <w:keepLines w:val="0"/>
        <w:pageBreakBefore w:val="0"/>
        <w:widowControl w:val="0"/>
        <w:kinsoku/>
        <w:wordWrap/>
        <w:overflowPunct/>
        <w:topLinePunct w:val="0"/>
        <w:autoSpaceDE/>
        <w:autoSpaceDN/>
        <w:bidi w:val="0"/>
        <w:adjustRightInd/>
        <w:snapToGrid/>
        <w:spacing w:line="360" w:lineRule="auto"/>
        <w:ind w:right="0" w:rightChars="0"/>
        <w:jc w:val="both"/>
        <w:textAlignment w:val="auto"/>
        <w:outlineLvl w:val="9"/>
        <w:rPr>
          <w:rFonts w:hint="default" w:ascii="宋体" w:hAnsi="宋体" w:eastAsia="宋体" w:cs="宋体"/>
          <w:b w:val="0"/>
          <w:bCs/>
          <w:kern w:val="0"/>
          <w:sz w:val="24"/>
          <w:szCs w:val="24"/>
          <w:lang w:val="en-US" w:eastAsia="zh-CN" w:bidi="ar-SA"/>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kern w:val="0"/>
          <w:sz w:val="28"/>
          <w:szCs w:val="28"/>
          <w:lang w:val="en-US" w:eastAsia="zh-CN" w:bidi="ar-SA"/>
        </w:rPr>
      </w:pPr>
      <w:r>
        <w:rPr>
          <w:rFonts w:hint="eastAsia" w:ascii="宋体" w:hAnsi="宋体" w:eastAsia="宋体" w:cs="宋体"/>
          <w:b w:val="0"/>
          <w:bCs/>
          <w:kern w:val="0"/>
          <w:sz w:val="28"/>
          <w:szCs w:val="28"/>
          <w:lang w:val="en-US" w:eastAsia="zh-CN" w:bidi="ar-SA"/>
        </w:rPr>
        <w:t>广大的考研学子们，转眼间就已经到了</w:t>
      </w:r>
      <w:r>
        <w:rPr>
          <w:rFonts w:hint="eastAsia" w:ascii="宋体" w:hAnsi="宋体" w:eastAsia="宋体" w:cs="宋体"/>
          <w:b/>
          <w:bCs w:val="0"/>
          <w:color w:val="FF0000"/>
          <w:kern w:val="0"/>
          <w:sz w:val="28"/>
          <w:szCs w:val="28"/>
          <w:lang w:val="en-US" w:eastAsia="zh-CN" w:bidi="ar-SA"/>
        </w:rPr>
        <w:t>2022考研英语大纲</w:t>
      </w:r>
      <w:r>
        <w:rPr>
          <w:rFonts w:hint="eastAsia" w:ascii="宋体" w:hAnsi="宋体" w:eastAsia="宋体" w:cs="宋体"/>
          <w:b w:val="0"/>
          <w:bCs/>
          <w:kern w:val="0"/>
          <w:sz w:val="28"/>
          <w:szCs w:val="28"/>
          <w:lang w:val="en-US" w:eastAsia="zh-CN" w:bidi="ar-SA"/>
        </w:rPr>
        <w:t>发布的日子，相信大家早就已经对大纲有所期待，接下来文都考研带领大家一起来总结一下2022考研英语大纲未变的考点。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kern w:val="0"/>
          <w:sz w:val="28"/>
          <w:szCs w:val="28"/>
          <w:lang w:val="en-US" w:eastAsia="zh-CN" w:bidi="ar-SA"/>
        </w:rPr>
      </w:pPr>
      <w:r>
        <w:rPr>
          <w:rFonts w:hint="eastAsia" w:ascii="宋体" w:hAnsi="宋体" w:eastAsia="宋体" w:cs="宋体"/>
          <w:b w:val="0"/>
          <w:bCs/>
          <w:kern w:val="0"/>
          <w:sz w:val="28"/>
          <w:szCs w:val="28"/>
          <w:lang w:val="en-US" w:eastAsia="zh-CN" w:bidi="ar-SA"/>
        </w:rPr>
        <w:t>首先是考试性质与考查目标没有发生大的改变。考试性质依旧是为高等院校和科研院所招收硕士研究生而设置的具有选拔性质的全国统一招生考试科目。考查目标主要包括语言知识和语言技能，未发生改变的部分包括语言知识中语法知识和语言技能中阅读和写作的相关要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kern w:val="0"/>
          <w:sz w:val="28"/>
          <w:szCs w:val="28"/>
          <w:lang w:val="en-US" w:eastAsia="zh-CN" w:bidi="ar-SA"/>
        </w:rPr>
      </w:pPr>
      <w:r>
        <w:rPr>
          <w:rFonts w:hint="eastAsia" w:ascii="宋体" w:hAnsi="宋体" w:eastAsia="宋体" w:cs="宋体"/>
          <w:b w:val="0"/>
          <w:bCs/>
          <w:kern w:val="0"/>
          <w:sz w:val="28"/>
          <w:szCs w:val="28"/>
          <w:lang w:val="en-US" w:eastAsia="zh-CN" w:bidi="ar-SA"/>
        </w:rPr>
        <w:t>其次是考试形式、考试内容与试卷结构未发生大的变化。考试形式为笔试，考试的时间为180分钟，满分为100分。考试内容依旧是将试题分为四个部分，包括英语知识运用、阅读理解、翻译和写作。其中英语知识运用主要考查的是考生对英语知识的综合运用能力，共20小题，每小题0.5分，共10分。阅读理解主要考查考生获取信息、理解文章、猜测重要生词词义并进行推断等方面的能力，该部分由A、B两节组成，共25小题，每小题2分，共50分。翻译主要考查考生理解所给英语语言材料并将其译成汉语的能力，写作主要考查考生的书面表达能力，在翻译和写作部分，英语一和英语二出现了分值差异，其中英语一的翻译为10分，英语二的翻译为15分，英语一的写作为20分，英语二的写作为15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eastAsia" w:ascii="宋体" w:hAnsi="宋体" w:eastAsia="宋体" w:cs="宋体"/>
          <w:b w:val="0"/>
          <w:bCs/>
          <w:kern w:val="0"/>
          <w:sz w:val="28"/>
          <w:szCs w:val="28"/>
          <w:lang w:val="en-US" w:eastAsia="zh-CN" w:bidi="ar-SA"/>
        </w:rPr>
      </w:pPr>
      <w:r>
        <w:rPr>
          <w:rFonts w:hint="eastAsia" w:ascii="宋体" w:hAnsi="宋体" w:eastAsia="宋体" w:cs="宋体"/>
          <w:b w:val="0"/>
          <w:bCs/>
          <w:kern w:val="0"/>
          <w:sz w:val="28"/>
          <w:szCs w:val="28"/>
          <w:lang w:val="en-US" w:eastAsia="zh-CN" w:bidi="ar-SA"/>
        </w:rPr>
        <w:t>针对以上文都考研所做的总结，可以发现2022考研英语新大纲改动的比例非常小，考生可以结合历年考研英语真题针对考研英语大纲中未变的考点安心复习，充分利用好提高阶段和冲刺阶段这两个黄金时段，努力提高英语成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560" w:firstLineChars="200"/>
        <w:jc w:val="both"/>
        <w:textAlignment w:val="auto"/>
        <w:outlineLvl w:val="9"/>
        <w:rPr>
          <w:rFonts w:hint="default" w:ascii="宋体" w:hAnsi="宋体" w:eastAsia="宋体" w:cs="宋体"/>
          <w:b w:val="0"/>
          <w:bCs/>
          <w:kern w:val="0"/>
          <w:sz w:val="28"/>
          <w:szCs w:val="28"/>
          <w:lang w:val="en-US" w:eastAsia="zh-CN" w:bidi="ar-SA"/>
        </w:rPr>
      </w:pPr>
      <w:r>
        <w:rPr>
          <w:rFonts w:hint="eastAsia" w:ascii="宋体" w:hAnsi="宋体" w:eastAsia="宋体" w:cs="宋体"/>
          <w:b w:val="0"/>
          <w:bCs/>
          <w:kern w:val="0"/>
          <w:sz w:val="28"/>
          <w:szCs w:val="28"/>
          <w:lang w:val="en-US" w:eastAsia="zh-CN" w:bidi="ar-SA"/>
        </w:rPr>
        <w:t>最后文都考研祝广大考生顺利通过研究生考试，一战成硕！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480" w:firstLineChars="200"/>
        <w:jc w:val="both"/>
        <w:textAlignment w:val="auto"/>
        <w:outlineLvl w:val="9"/>
        <w:rPr>
          <w:rFonts w:hint="eastAsia" w:asciiTheme="majorEastAsia" w:hAnsiTheme="majorEastAsia" w:eastAsiaTheme="majorEastAsia" w:cstheme="majorEastAsia"/>
          <w:b w:val="0"/>
          <w:bCs/>
          <w:sz w:val="24"/>
          <w:szCs w:val="24"/>
          <w:lang w:val="en-US" w:eastAsia="zh-CN"/>
        </w:rPr>
      </w:pPr>
    </w:p>
    <w:sectPr>
      <w:headerReference r:id="rId3" w:type="default"/>
      <w:footerReference r:id="rId4" w:type="default"/>
      <w:pgSz w:w="11906" w:h="16838"/>
      <w:pgMar w:top="720" w:right="720" w:bottom="720" w:left="720" w:header="283" w:footer="425"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altName w:val="微软雅黑"/>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地址：北京市海淀区中关村南大街 </w:t>
    </w:r>
    <w:r>
      <w:rPr>
        <w:rFonts w:ascii="Calibri" w:hAnsi="Calibri" w:eastAsia="宋体" w:cs="Calibri"/>
        <w:color w:val="000000"/>
        <w:kern w:val="0"/>
        <w:sz w:val="18"/>
        <w:szCs w:val="18"/>
        <w:lang w:val="en-US" w:eastAsia="zh-CN" w:bidi="ar"/>
      </w:rPr>
      <w:t xml:space="preserve">17 </w:t>
    </w:r>
    <w:r>
      <w:rPr>
        <w:rFonts w:hint="eastAsia" w:ascii="宋体" w:hAnsi="宋体" w:eastAsia="宋体" w:cs="宋体"/>
        <w:color w:val="000000"/>
        <w:kern w:val="0"/>
        <w:sz w:val="18"/>
        <w:szCs w:val="18"/>
        <w:lang w:val="en-US" w:eastAsia="zh-CN" w:bidi="ar"/>
      </w:rPr>
      <w:t xml:space="preserve">号韦伯时代中心 </w:t>
    </w:r>
    <w:r>
      <w:rPr>
        <w:rFonts w:hint="default" w:ascii="Calibri" w:hAnsi="Calibri" w:eastAsia="宋体" w:cs="Calibri"/>
        <w:color w:val="000000"/>
        <w:kern w:val="0"/>
        <w:sz w:val="18"/>
        <w:szCs w:val="18"/>
        <w:lang w:val="en-US" w:eastAsia="zh-CN" w:bidi="ar"/>
      </w:rPr>
      <w:t xml:space="preserve">C </w:t>
    </w:r>
    <w:r>
      <w:rPr>
        <w:rFonts w:hint="eastAsia" w:ascii="宋体" w:hAnsi="宋体" w:eastAsia="宋体" w:cs="宋体"/>
        <w:color w:val="000000"/>
        <w:kern w:val="0"/>
        <w:sz w:val="18"/>
        <w:szCs w:val="18"/>
        <w:lang w:val="en-US" w:eastAsia="zh-CN" w:bidi="ar"/>
      </w:rPr>
      <w:t xml:space="preserve">座北配楼，邮编 </w:t>
    </w:r>
    <w:r>
      <w:rPr>
        <w:rFonts w:hint="default" w:ascii="Calibri" w:hAnsi="Calibri" w:eastAsia="宋体" w:cs="Calibri"/>
        <w:color w:val="000000"/>
        <w:kern w:val="0"/>
        <w:sz w:val="18"/>
        <w:szCs w:val="18"/>
        <w:lang w:val="en-US" w:eastAsia="zh-CN" w:bidi="ar"/>
      </w:rPr>
      <w:t xml:space="preserve">100081 </w:t>
    </w:r>
  </w:p>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电话：</w:t>
    </w:r>
    <w:r>
      <w:rPr>
        <w:rFonts w:hint="default" w:ascii="Calibri" w:hAnsi="Calibri" w:eastAsia="宋体" w:cs="Calibri"/>
        <w:color w:val="000000"/>
        <w:kern w:val="0"/>
        <w:sz w:val="18"/>
        <w:szCs w:val="18"/>
        <w:lang w:val="en-US" w:eastAsia="zh-CN" w:bidi="ar"/>
      </w:rPr>
      <w:t xml:space="preserve">010 - 88820136 </w:t>
    </w:r>
    <w:r>
      <w:rPr>
        <w:rFonts w:hint="eastAsia" w:ascii="宋体" w:hAnsi="宋体" w:eastAsia="宋体" w:cs="宋体"/>
        <w:color w:val="000000"/>
        <w:kern w:val="0"/>
        <w:sz w:val="18"/>
        <w:szCs w:val="18"/>
        <w:lang w:val="en-US" w:eastAsia="zh-CN" w:bidi="ar"/>
      </w:rPr>
      <w:t>传真：</w:t>
    </w:r>
    <w:r>
      <w:rPr>
        <w:rFonts w:hint="default" w:ascii="Calibri" w:hAnsi="Calibri" w:eastAsia="宋体" w:cs="Calibri"/>
        <w:color w:val="000000"/>
        <w:kern w:val="0"/>
        <w:sz w:val="18"/>
        <w:szCs w:val="18"/>
        <w:lang w:val="en-US" w:eastAsia="zh-CN" w:bidi="ar"/>
      </w:rPr>
      <w:t xml:space="preserve">010 - 88820119 </w:t>
    </w:r>
    <w:r>
      <w:rPr>
        <w:rFonts w:hint="eastAsia" w:ascii="宋体" w:hAnsi="宋体" w:eastAsia="宋体" w:cs="宋体"/>
        <w:color w:val="000000"/>
        <w:kern w:val="0"/>
        <w:sz w:val="18"/>
        <w:szCs w:val="18"/>
        <w:lang w:val="en-US" w:eastAsia="zh-CN" w:bidi="ar"/>
      </w:rPr>
      <w:t>网址：</w:t>
    </w:r>
    <w:r>
      <w:rPr>
        <w:rFonts w:hint="default" w:ascii="Calibri" w:hAnsi="Calibri" w:eastAsia="宋体" w:cs="Calibri"/>
        <w:color w:val="000000"/>
        <w:kern w:val="0"/>
        <w:sz w:val="18"/>
        <w:szCs w:val="18"/>
        <w:lang w:val="en-US" w:eastAsia="zh-CN" w:bidi="ar"/>
      </w:rPr>
      <w:t>www.wendu.com</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1"/>
      </w:pBdr>
      <w:jc w:val="left"/>
      <w:rPr>
        <w:rFonts w:hint="eastAsia" w:ascii="宋体" w:hAnsi="宋体" w:eastAsia="宋体" w:cs="宋体"/>
      </w:rPr>
    </w:pPr>
    <w:r>
      <w:rPr>
        <w:rFonts w:hint="eastAsia" w:ascii="宋体" w:hAnsi="宋体" w:eastAsia="宋体" w:cs="宋体"/>
      </w:rPr>
      <w:drawing>
        <wp:anchor distT="0" distB="0" distL="114300" distR="114300" simplePos="0" relativeHeight="251659264" behindDoc="0" locked="0" layoutInCell="1" allowOverlap="1">
          <wp:simplePos x="0" y="0"/>
          <wp:positionH relativeFrom="column">
            <wp:posOffset>0</wp:posOffset>
          </wp:positionH>
          <wp:positionV relativeFrom="paragraph">
            <wp:posOffset>38100</wp:posOffset>
          </wp:positionV>
          <wp:extent cx="1032510" cy="256540"/>
          <wp:effectExtent l="0" t="0" r="15240" b="10160"/>
          <wp:wrapNone/>
          <wp:docPr id="1" name="图片 1" descr="D:\mine\3. 营销推广\物料制作\图片\logo\文都教育蓝绿logo.png文都教育蓝绿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mine\3. 营销推广\物料制作\图片\logo\文都教育蓝绿logo.png文都教育蓝绿logo"/>
                  <pic:cNvPicPr>
                    <a:picLocks noChangeAspect="1"/>
                  </pic:cNvPicPr>
                </pic:nvPicPr>
                <pic:blipFill>
                  <a:blip r:embed="rId1"/>
                  <a:stretch>
                    <a:fillRect/>
                  </a:stretch>
                </pic:blipFill>
                <pic:spPr>
                  <a:xfrm>
                    <a:off x="0" y="0"/>
                    <a:ext cx="1032510" cy="256540"/>
                  </a:xfrm>
                  <a:prstGeom prst="rect">
                    <a:avLst/>
                  </a:prstGeom>
                  <a:noFill/>
                  <a:ln>
                    <a:noFill/>
                  </a:ln>
                </pic:spPr>
              </pic:pic>
            </a:graphicData>
          </a:graphic>
        </wp:anchor>
      </w:drawing>
    </w:r>
    <w:r>
      <w:rPr>
        <w:rFonts w:hint="eastAsia" w:ascii="宋体" w:hAnsi="宋体" w:eastAsia="宋体" w:cs="宋体"/>
      </w:rPr>
      <w:t xml:space="preserve">                                 </w:t>
    </w:r>
  </w:p>
  <w:p>
    <w:pPr>
      <w:pStyle w:val="3"/>
      <w:pBdr>
        <w:bottom w:val="single" w:color="auto" w:sz="4" w:space="1"/>
      </w:pBdr>
      <w:tabs>
        <w:tab w:val="left" w:pos="2451"/>
        <w:tab w:val="right" w:pos="8426"/>
      </w:tabs>
      <w:jc w:val="left"/>
    </w:pPr>
    <w:r>
      <w:rPr>
        <w:sz w:val="18"/>
      </w:rPr>
      <w:drawing>
        <wp:anchor distT="0" distB="0" distL="114300" distR="114300" simplePos="0" relativeHeight="251660288" behindDoc="1" locked="0" layoutInCell="1" allowOverlap="1">
          <wp:simplePos x="0" y="0"/>
          <wp:positionH relativeFrom="margin">
            <wp:align>center</wp:align>
          </wp:positionH>
          <wp:positionV relativeFrom="margin">
            <wp:align>center</wp:align>
          </wp:positionV>
          <wp:extent cx="5274310" cy="7463790"/>
          <wp:effectExtent l="0" t="0" r="0" b="0"/>
          <wp:wrapNone/>
          <wp:docPr id="2" name="WordPictureWatermark15396" descr="文都考研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15396" descr="文都考研水印"/>
                  <pic:cNvPicPr>
                    <a:picLocks noChangeAspect="1"/>
                  </pic:cNvPicPr>
                </pic:nvPicPr>
                <pic:blipFill>
                  <a:blip r:embed="rId2">
                    <a:lum bright="69998" contrast="-70001"/>
                  </a:blip>
                  <a:stretch>
                    <a:fillRect/>
                  </a:stretch>
                </pic:blipFill>
                <pic:spPr>
                  <a:xfrm>
                    <a:off x="0" y="0"/>
                    <a:ext cx="5274310" cy="7463790"/>
                  </a:xfrm>
                  <a:prstGeom prst="rect">
                    <a:avLst/>
                  </a:prstGeom>
                  <a:noFill/>
                  <a:ln>
                    <a:noFill/>
                  </a:ln>
                </pic:spPr>
              </pic:pic>
            </a:graphicData>
          </a:graphic>
        </wp:anchor>
      </w:drawing>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lang w:eastAsia="zh-CN"/>
      </w:rPr>
      <w:tab/>
    </w:r>
    <w:r>
      <w:rPr>
        <w:rFonts w:hint="eastAsia" w:ascii="宋体" w:hAnsi="宋体" w:eastAsia="宋体" w:cs="宋体"/>
      </w:rPr>
      <w:t xml:space="preserve"> </w:t>
    </w:r>
    <w:r>
      <w:rPr>
        <w:rFonts w:hint="eastAsia" w:ascii="宋体" w:hAnsi="宋体" w:eastAsia="宋体" w:cs="宋体"/>
        <w:lang w:val="en-US" w:eastAsia="zh-CN"/>
      </w:rPr>
      <w:t xml:space="preserve">                               </w:t>
    </w:r>
    <w:r>
      <w:rPr>
        <w:rFonts w:hint="eastAsia" w:ascii="宋体" w:hAnsi="宋体" w:eastAsia="宋体" w:cs="宋体"/>
        <w:sz w:val="21"/>
        <w:szCs w:val="21"/>
      </w:rPr>
      <w:t>世纪文都教育科技</w:t>
    </w:r>
    <w:r>
      <w:rPr>
        <w:rFonts w:hint="eastAsia" w:ascii="宋体" w:hAnsi="宋体" w:eastAsia="宋体" w:cs="宋体"/>
        <w:sz w:val="21"/>
        <w:szCs w:val="21"/>
        <w:lang w:val="en-US" w:eastAsia="zh-CN"/>
      </w:rPr>
      <w:t>集团股份</w:t>
    </w:r>
    <w:r>
      <w:rPr>
        <w:rFonts w:hint="eastAsia" w:ascii="宋体" w:hAnsi="宋体" w:eastAsia="宋体" w:cs="宋体"/>
        <w:sz w:val="21"/>
        <w:szCs w:val="21"/>
      </w:rPr>
      <w:t>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085"/>
    <w:rsid w:val="00151564"/>
    <w:rsid w:val="00172085"/>
    <w:rsid w:val="00187F62"/>
    <w:rsid w:val="00E27EB2"/>
    <w:rsid w:val="0153246E"/>
    <w:rsid w:val="015330E5"/>
    <w:rsid w:val="05FB2B28"/>
    <w:rsid w:val="0654545C"/>
    <w:rsid w:val="08375A7F"/>
    <w:rsid w:val="0E516A90"/>
    <w:rsid w:val="0FF26BC1"/>
    <w:rsid w:val="10827C0B"/>
    <w:rsid w:val="17174DE7"/>
    <w:rsid w:val="1D5B2224"/>
    <w:rsid w:val="22B42F84"/>
    <w:rsid w:val="29FB3E3A"/>
    <w:rsid w:val="2A2116A6"/>
    <w:rsid w:val="2AB15E68"/>
    <w:rsid w:val="2B1B49E0"/>
    <w:rsid w:val="2F4B74C5"/>
    <w:rsid w:val="344B1857"/>
    <w:rsid w:val="36221D98"/>
    <w:rsid w:val="38041380"/>
    <w:rsid w:val="43F93C4C"/>
    <w:rsid w:val="4C283C60"/>
    <w:rsid w:val="4E771985"/>
    <w:rsid w:val="4E7A3112"/>
    <w:rsid w:val="55271EBE"/>
    <w:rsid w:val="599226D8"/>
    <w:rsid w:val="5A014D73"/>
    <w:rsid w:val="5AC008CA"/>
    <w:rsid w:val="66C84728"/>
    <w:rsid w:val="68B236DC"/>
    <w:rsid w:val="691168A4"/>
    <w:rsid w:val="6D9D6D07"/>
    <w:rsid w:val="6F0C556B"/>
    <w:rsid w:val="71236D3F"/>
    <w:rsid w:val="76267728"/>
    <w:rsid w:val="782E5309"/>
    <w:rsid w:val="78B237BE"/>
    <w:rsid w:val="7BB21B48"/>
    <w:rsid w:val="7E050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128</Words>
  <Characters>730</Characters>
  <Lines>6</Lines>
  <Paragraphs>1</Paragraphs>
  <TotalTime>0</TotalTime>
  <ScaleCrop>false</ScaleCrop>
  <LinksUpToDate>false</LinksUpToDate>
  <CharactersWithSpaces>857</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2020-09-11T05:21:00Z</dcterms:created>
  <dc:creator>80254273@qq.com</dc:creator>
  <cp:lastModifiedBy>Administrator</cp:lastModifiedBy>
  <dcterms:modified xsi:type="dcterms:W3CDTF">2021-09-15T07:04:27Z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A1D9CBCBC5334723B6718D9B121F8CCC</vt:lpwstr>
  </property>
</Properties>
</file>