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8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jc w:val="center"/>
        <w:rPr>
          <w:rStyle w:val="8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  <w:r>
        <w:rPr>
          <w:rStyle w:val="8"/>
          <w:rFonts w:hint="eastAsia" w:ascii="宋体" w:hAnsi="宋体" w:eastAsia="宋体" w:cs="宋体"/>
          <w:b/>
          <w:bCs w:val="0"/>
          <w:color w:val="0000FF"/>
          <w:kern w:val="2"/>
          <w:sz w:val="36"/>
          <w:szCs w:val="36"/>
          <w:lang w:val="en-US" w:eastAsia="zh-CN" w:bidi="ar-SA"/>
        </w:rPr>
        <w:t>2022西医综合考研大纲</w:t>
      </w:r>
      <w:r>
        <w:rPr>
          <w:rStyle w:val="8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  <w:t>变动对比表</w:t>
      </w:r>
    </w:p>
    <w:p>
      <w:pPr>
        <w:jc w:val="center"/>
        <w:rPr>
          <w:rStyle w:val="8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  <w:r>
        <w:rPr>
          <w:rStyle w:val="8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来源：文都教育</w:t>
      </w:r>
    </w:p>
    <w:tbl>
      <w:tblPr>
        <w:tblStyle w:val="6"/>
        <w:tblpPr w:leftFromText="180" w:rightFromText="180" w:vertAnchor="text" w:horzAnchor="page" w:tblpX="840" w:tblpY="497"/>
        <w:tblOverlap w:val="never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42"/>
        <w:gridCol w:w="3343"/>
        <w:gridCol w:w="2136"/>
        <w:gridCol w:w="2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pct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CN"/>
              </w:rPr>
              <w:t>科目</w:t>
            </w:r>
          </w:p>
        </w:tc>
        <w:tc>
          <w:tcPr>
            <w:tcW w:w="909" w:type="pc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2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eastAsia="zh-CN"/>
              </w:rPr>
              <w:t>章节</w:t>
            </w:r>
          </w:p>
        </w:tc>
        <w:tc>
          <w:tcPr>
            <w:tcW w:w="1565" w:type="pct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CN"/>
              </w:rPr>
              <w:t>2021大纲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CN"/>
              </w:rPr>
              <w:t>2022大纲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pc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生物化学</w:t>
            </w:r>
          </w:p>
        </w:tc>
        <w:tc>
          <w:tcPr>
            <w:tcW w:w="909" w:type="pc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物质代谢及其调节</w:t>
            </w:r>
          </w:p>
        </w:tc>
        <w:tc>
          <w:tcPr>
            <w:tcW w:w="1565" w:type="pc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1.糖酵解过程、意义及调节。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color w:val="auto"/>
                <w:lang w:val="en-US" w:eastAsia="zh-CN"/>
              </w:rPr>
              <w:t>糖的摄取与利用。</w:t>
            </w:r>
            <w:r>
              <w:rPr>
                <w:rFonts w:hint="eastAsia"/>
                <w:lang w:val="en-US" w:eastAsia="zh-CN"/>
              </w:rPr>
              <w:t>糖酵解过程、意义及调节。</w:t>
            </w: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大纲其他部分无变化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pc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内科学</w:t>
            </w:r>
          </w:p>
        </w:tc>
        <w:tc>
          <w:tcPr>
            <w:tcW w:w="909" w:type="pc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消化系统和中毒</w:t>
            </w:r>
          </w:p>
        </w:tc>
        <w:tc>
          <w:tcPr>
            <w:tcW w:w="1565" w:type="pc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10.肝性脑病的病因、发病机制、临床表现、实验室和其他检查、诊断、鉴别诊断和治疗。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删除此部分内容</w:t>
            </w: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hint="eastAsia"/>
                <w:strike/>
                <w:dstrike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pc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内科学</w:t>
            </w:r>
          </w:p>
        </w:tc>
        <w:tc>
          <w:tcPr>
            <w:tcW w:w="909" w:type="pc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血液系统疾病</w:t>
            </w:r>
          </w:p>
        </w:tc>
        <w:tc>
          <w:tcPr>
            <w:tcW w:w="1565" w:type="pc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10.特发性血小板减少性紫癜的临床表现、实验室检查、诊断、鉴别诊断和治疗。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10.原发免疫性血小板减少症的临床表现、实验室检查、诊断、鉴别诊断和治疗。</w:t>
            </w: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pc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临床医学人文精神</w:t>
            </w:r>
          </w:p>
        </w:tc>
        <w:tc>
          <w:tcPr>
            <w:tcW w:w="909" w:type="pc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医学职业素养</w:t>
            </w:r>
          </w:p>
        </w:tc>
        <w:tc>
          <w:tcPr>
            <w:tcW w:w="1565" w:type="pct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94" w:beforeAutospacing="0" w:after="294" w:afterAutospacing="0"/>
              <w:ind w:left="0" w:right="0" w:firstLine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1.医德规范的基本</w:t>
            </w:r>
            <w:bookmarkStart w:id="0" w:name="_GoBack"/>
            <w:bookmarkEnd w:id="0"/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内容。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94" w:beforeAutospacing="0" w:after="294" w:afterAutospacing="0"/>
              <w:ind w:left="0" w:right="0" w:firstLine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2.医学专业精神的三项基本原则及十项专业责任。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00" w:type="pct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94" w:beforeAutospacing="0" w:after="294" w:afterAutospacing="0"/>
              <w:ind w:left="0" w:right="0" w:firstLine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1.医德规范的基本内容。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/>
              <w:spacing w:before="294" w:beforeAutospacing="0" w:after="294" w:afterAutospacing="0"/>
              <w:ind w:left="0" w:right="0" w:firstLine="0"/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2.医学伦理学原则；医疗机构从业人员行为规范</w:t>
            </w:r>
            <w:r>
              <w:rPr>
                <w:rFonts w:hint="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/>
              <w:spacing w:before="294" w:beforeAutospacing="0" w:after="294" w:afterAutospacing="0"/>
              <w:ind w:left="0" w:right="0" w:firstLine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3.医学专业精神的三项基本原则及十项专业责任。</w:t>
            </w:r>
          </w:p>
        </w:tc>
        <w:tc>
          <w:tcPr>
            <w:tcW w:w="1000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94" w:beforeAutospacing="0" w:after="294" w:afterAutospacing="0"/>
              <w:ind w:left="0" w:right="0" w:firstLine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pc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临床医学人文精神</w:t>
            </w:r>
          </w:p>
        </w:tc>
        <w:tc>
          <w:tcPr>
            <w:tcW w:w="909" w:type="pc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医患关系</w:t>
            </w:r>
          </w:p>
        </w:tc>
        <w:tc>
          <w:tcPr>
            <w:tcW w:w="1565" w:type="pct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/>
              <w:spacing w:before="294" w:beforeAutospacing="0" w:after="294" w:afterAutospacing="0"/>
              <w:ind w:left="0" w:right="0" w:firstLine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1.医患关系的性质。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/>
              <w:spacing w:before="294" w:beforeAutospacing="0" w:after="294" w:afterAutospacing="0"/>
              <w:ind w:left="0" w:right="0" w:firstLine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2.患者的权利和义务。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/>
              <w:spacing w:before="294" w:beforeAutospacing="0" w:after="294" w:afterAutospacing="0"/>
              <w:ind w:left="0" w:right="0" w:firstLine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3.医生的权利和义务。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/>
              <w:spacing w:before="294" w:beforeAutospacing="0" w:after="294" w:afterAutospacing="0"/>
              <w:ind w:left="0" w:right="0" w:firstLine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4.医患沟通的基本原则、内容与方法。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94" w:beforeAutospacing="0" w:after="294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121212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21212"/>
                <w:spacing w:val="0"/>
                <w:sz w:val="21"/>
                <w:szCs w:val="21"/>
                <w:shd w:val="clear" w:fill="FFFFFF"/>
              </w:rPr>
              <w:t>1.医患关系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trike/>
                <w:dstrike w:val="0"/>
                <w:color w:val="121212"/>
                <w:spacing w:val="0"/>
                <w:sz w:val="21"/>
                <w:szCs w:val="21"/>
                <w:shd w:val="clear" w:fill="FFFFFF"/>
              </w:rPr>
              <w:t>的性质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21212"/>
                <w:spacing w:val="0"/>
                <w:sz w:val="21"/>
                <w:szCs w:val="21"/>
                <w:shd w:val="clear" w:fill="FFFFFF"/>
              </w:rPr>
              <w:t>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94" w:beforeAutospacing="0" w:after="294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trike w:val="0"/>
                <w:dstrike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trike w:val="0"/>
                <w:dstrike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  <w:t>2.医患双方的权利和义务。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94" w:beforeAutospacing="0" w:after="294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trike/>
                <w:dstrike w:val="0"/>
                <w:color w:val="121212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trike w:val="0"/>
                <w:dstrike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  <w:t>3.医患沟通。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pc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临床医学人文精神</w:t>
            </w:r>
          </w:p>
        </w:tc>
        <w:tc>
          <w:tcPr>
            <w:tcW w:w="909" w:type="pc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卫生法律法规</w:t>
            </w:r>
          </w:p>
        </w:tc>
        <w:tc>
          <w:tcPr>
            <w:tcW w:w="1565" w:type="pct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94" w:beforeAutospacing="0" w:after="294" w:afterAutospacing="0"/>
              <w:ind w:left="0" w:right="0" w:firstLine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1.《中华人民共和国执业医师法》。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94" w:beforeAutospacing="0" w:after="294" w:afterAutospacing="0"/>
              <w:ind w:left="0" w:right="0" w:firstLine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2.《侵权责任法》。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94" w:beforeAutospacing="0" w:after="294" w:afterAutospacing="0"/>
              <w:ind w:left="0" w:right="0" w:firstLine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3.《医疗事故处理条例》。</w:t>
            </w:r>
          </w:p>
        </w:tc>
        <w:tc>
          <w:tcPr>
            <w:tcW w:w="1000" w:type="pct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94" w:beforeAutospacing="0" w:after="294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121212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21212"/>
                <w:spacing w:val="0"/>
                <w:sz w:val="21"/>
                <w:szCs w:val="21"/>
                <w:shd w:val="clear" w:fill="FFFFFF"/>
              </w:rPr>
              <w:t>1.《中华人民共和国执业医师法》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21212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94" w:beforeAutospacing="0" w:after="294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  <w:t>2.《中华人民共和国民法典》中关于生命权、身体权和健康权的规定；关于隐私权和个人信息保护的规定；关于医疗损害责任的规定。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/>
              <w:spacing w:before="294" w:beforeAutospacing="0" w:after="294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trike w:val="0"/>
                <w:dstrike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trike w:val="0"/>
                <w:dstrike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  <w:t>3.《中华人民共和国药品管理法》中关于药品研制和注册的规定。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/>
              <w:spacing w:before="294" w:beforeAutospacing="0" w:after="294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trike w:val="0"/>
                <w:dstrike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trike w:val="0"/>
                <w:dstrike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  <w:t>4.《医疗纠纷预防和处理条例》。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/>
              <w:spacing w:before="294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121212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21212"/>
                <w:spacing w:val="0"/>
                <w:sz w:val="21"/>
                <w:szCs w:val="21"/>
                <w:shd w:val="clear" w:fill="FFFFFF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21212"/>
                <w:spacing w:val="0"/>
                <w:sz w:val="21"/>
                <w:szCs w:val="21"/>
                <w:shd w:val="clear" w:fill="FFFFFF"/>
              </w:rPr>
              <w:t>.《医疗事故处理条例》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21212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283" w:footer="425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地址：北京市海淀区中关村南大街 </w:t>
    </w:r>
    <w:r>
      <w:rPr>
        <w:rFonts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17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号韦伯时代中心 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C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座北配楼，邮编 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100081 </w:t>
    </w:r>
  </w:p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电话：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010 - 88820136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传真：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010 - 88820119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网址：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>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38100</wp:posOffset>
          </wp:positionV>
          <wp:extent cx="1032510" cy="256540"/>
          <wp:effectExtent l="0" t="0" r="15240" b="10160"/>
          <wp:wrapNone/>
          <wp:docPr id="1" name="图片 1" descr="D:\mine\3. 营销推广\物料制作\图片\logo\文都教育蓝绿logo.png文都教育蓝绿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D:\mine\3. 营销推广\物料制作\图片\logo\文都教育蓝绿logo.png文都教育蓝绿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2510" cy="256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</w:rPr>
      <w:t xml:space="preserve">                                 </w:t>
    </w:r>
  </w:p>
  <w:p>
    <w:pPr>
      <w:pStyle w:val="3"/>
      <w:pBdr>
        <w:bottom w:val="single" w:color="auto" w:sz="4" w:space="1"/>
      </w:pBdr>
      <w:tabs>
        <w:tab w:val="left" w:pos="2451"/>
        <w:tab w:val="right" w:pos="8426"/>
      </w:tabs>
      <w:jc w:val="lef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67375" cy="8020050"/>
          <wp:effectExtent l="0" t="0" r="0" b="0"/>
          <wp:wrapNone/>
          <wp:docPr id="2" name="WordPictureWatermark114567" descr="小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14567" descr="小水印"/>
                  <pic:cNvPicPr>
                    <a:picLocks noChangeAspect="1"/>
                  </pic:cNvPicPr>
                </pic:nvPicPr>
                <pic:blipFill>
                  <a:blip r:embed="rId2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7375" cy="802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</w:rPr>
      <w:t xml:space="preserve"> </w:t>
    </w:r>
    <w:r>
      <w:rPr>
        <w:rFonts w:hint="eastAsia" w:ascii="宋体" w:hAnsi="宋体" w:eastAsia="宋体" w:cs="宋体"/>
        <w:lang w:val="en-US" w:eastAsia="zh-CN"/>
      </w:rPr>
      <w:t xml:space="preserve">                               </w:t>
    </w:r>
    <w:r>
      <w:rPr>
        <w:rFonts w:hint="eastAsia" w:ascii="宋体" w:hAnsi="宋体" w:eastAsia="宋体" w:cs="宋体"/>
        <w:sz w:val="21"/>
        <w:szCs w:val="21"/>
      </w:rPr>
      <w:t>世纪文都教育科技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集团股份</w:t>
    </w:r>
    <w:r>
      <w:rPr>
        <w:rFonts w:hint="eastAsia" w:ascii="宋体" w:hAnsi="宋体" w:eastAsia="宋体" w:cs="宋体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508F0"/>
    <w:rsid w:val="03C902D6"/>
    <w:rsid w:val="0A203A48"/>
    <w:rsid w:val="14950CEA"/>
    <w:rsid w:val="155F42A9"/>
    <w:rsid w:val="15AA5668"/>
    <w:rsid w:val="1F4168BE"/>
    <w:rsid w:val="21330F59"/>
    <w:rsid w:val="268C3981"/>
    <w:rsid w:val="2AC12639"/>
    <w:rsid w:val="2F0D7498"/>
    <w:rsid w:val="30A92CF5"/>
    <w:rsid w:val="31101916"/>
    <w:rsid w:val="35643275"/>
    <w:rsid w:val="35EF589E"/>
    <w:rsid w:val="3DEC37DA"/>
    <w:rsid w:val="428D35E5"/>
    <w:rsid w:val="4595113C"/>
    <w:rsid w:val="480E4E9D"/>
    <w:rsid w:val="4AE65FF1"/>
    <w:rsid w:val="5169060E"/>
    <w:rsid w:val="557D0231"/>
    <w:rsid w:val="5A674905"/>
    <w:rsid w:val="641558D8"/>
    <w:rsid w:val="76185440"/>
    <w:rsid w:val="77CB1C4F"/>
    <w:rsid w:val="7A753376"/>
    <w:rsid w:val="7DBB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paragraph" w:customStyle="1" w:styleId="9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命运G</cp:lastModifiedBy>
  <dcterms:modified xsi:type="dcterms:W3CDTF">2021-09-15T01:27:37Z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E78C430EC1D64270A396F71265919919</vt:lpwstr>
  </property>
</Properties>
</file>